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5F" w:rsidRPr="00722E3F" w:rsidRDefault="00E600A4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/>
          <w:color w:val="222222"/>
          <w:kern w:val="0"/>
          <w:szCs w:val="24"/>
        </w:rPr>
        <w:t>關於</w:t>
      </w:r>
      <w:r w:rsidRPr="00722E3F">
        <w:rPr>
          <w:rFonts w:ascii="標楷體" w:eastAsia="標楷體" w:hAnsi="標楷體" w:cs="Arial"/>
          <w:color w:val="222222"/>
          <w:kern w:val="0"/>
          <w:szCs w:val="24"/>
          <w:shd w:val="clear" w:color="auto" w:fill="FFFFCC"/>
        </w:rPr>
        <w:t>資遣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員工，需要注意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四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個部分，</w:t>
      </w:r>
    </w:p>
    <w:p w:rsidR="0084575F" w:rsidRPr="00722E3F" w:rsidRDefault="0084575F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</w:p>
    <w:p w:rsidR="0084575F" w:rsidRPr="00722E3F" w:rsidRDefault="00E600A4" w:rsidP="00722E3F">
      <w:pPr>
        <w:pStyle w:val="a9"/>
        <w:widowControl/>
        <w:numPr>
          <w:ilvl w:val="0"/>
          <w:numId w:val="3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要符合勞基法第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11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條的法定項目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若是以不能勝任工作資遣他時，一定要有「行使解僱最後手段」，即給了該員許多次的機會，員工也知悉且同意要修正！並留下紀錄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:rsidR="0084575F" w:rsidRPr="00722E3F" w:rsidRDefault="0084575F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</w:p>
    <w:p w:rsidR="0084575F" w:rsidRPr="00722E3F" w:rsidRDefault="00E600A4" w:rsidP="00722E3F">
      <w:pPr>
        <w:pStyle w:val="a9"/>
        <w:widowControl/>
        <w:numPr>
          <w:ilvl w:val="0"/>
          <w:numId w:val="3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/>
          <w:color w:val="222222"/>
          <w:kern w:val="0"/>
          <w:szCs w:val="24"/>
        </w:rPr>
        <w:t>向政府通報</w:t>
      </w:r>
    </w:p>
    <w:p w:rsidR="0084575F" w:rsidRPr="00722E3F" w:rsidRDefault="00E600A4" w:rsidP="00722E3F">
      <w:pPr>
        <w:widowControl/>
        <w:shd w:val="clear" w:color="auto" w:fill="FFFFFF"/>
        <w:ind w:leftChars="200" w:left="480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/>
          <w:color w:val="222222"/>
          <w:kern w:val="0"/>
          <w:szCs w:val="24"/>
        </w:rPr>
        <w:t>雇主依據勞動基準法第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11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條事由</w:t>
      </w:r>
      <w:r w:rsidRPr="00722E3F">
        <w:rPr>
          <w:rFonts w:ascii="標楷體" w:eastAsia="標楷體" w:hAnsi="標楷體" w:cs="Arial"/>
          <w:color w:val="222222"/>
          <w:kern w:val="0"/>
          <w:szCs w:val="24"/>
          <w:shd w:val="clear" w:color="auto" w:fill="FFFFCC"/>
        </w:rPr>
        <w:t>資遣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勞工，除勞工到職未滿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10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日者，雇主依法仍應於離職前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10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天辦理</w:t>
      </w:r>
      <w:r w:rsidRPr="00722E3F">
        <w:rPr>
          <w:rFonts w:ascii="標楷體" w:eastAsia="標楷體" w:hAnsi="標楷體" w:cs="Arial"/>
          <w:color w:val="222222"/>
          <w:kern w:val="0"/>
          <w:szCs w:val="24"/>
          <w:shd w:val="clear" w:color="auto" w:fill="FFFFCC"/>
        </w:rPr>
        <w:t>資遣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通報。而勞工到職未滿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10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日者，應自員工離職之日起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3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日內辦理</w:t>
      </w:r>
      <w:r w:rsidRPr="00722E3F">
        <w:rPr>
          <w:rFonts w:ascii="標楷體" w:eastAsia="標楷體" w:hAnsi="標楷體" w:cs="Arial"/>
          <w:color w:val="222222"/>
          <w:kern w:val="0"/>
          <w:szCs w:val="24"/>
          <w:shd w:val="clear" w:color="auto" w:fill="FFFFCC"/>
        </w:rPr>
        <w:t>資遣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通報。</w:t>
      </w:r>
    </w:p>
    <w:p w:rsidR="0084575F" w:rsidRPr="00722E3F" w:rsidRDefault="0084575F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</w:p>
    <w:p w:rsidR="0084575F" w:rsidRPr="00722E3F" w:rsidRDefault="00E600A4" w:rsidP="00722E3F">
      <w:pPr>
        <w:pStyle w:val="a9"/>
        <w:widowControl/>
        <w:numPr>
          <w:ilvl w:val="0"/>
          <w:numId w:val="3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/>
          <w:color w:val="222222"/>
          <w:kern w:val="0"/>
          <w:szCs w:val="24"/>
        </w:rPr>
        <w:t>向員工預告</w:t>
      </w:r>
    </w:p>
    <w:p w:rsidR="0084575F" w:rsidRPr="00722E3F" w:rsidRDefault="00E600A4" w:rsidP="00722E3F">
      <w:pPr>
        <w:widowControl/>
        <w:shd w:val="clear" w:color="auto" w:fill="FFFFFF"/>
        <w:ind w:leftChars="200" w:left="480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/>
          <w:color w:val="222222"/>
          <w:kern w:val="0"/>
          <w:szCs w:val="24"/>
        </w:rPr>
        <w:t>一、繼續工作三個月以上一年未滿者，於十日前預告之。</w:t>
      </w:r>
    </w:p>
    <w:p w:rsidR="0084575F" w:rsidRPr="00722E3F" w:rsidRDefault="00E600A4" w:rsidP="00722E3F">
      <w:pPr>
        <w:widowControl/>
        <w:shd w:val="clear" w:color="auto" w:fill="FFFFFF"/>
        <w:ind w:leftChars="200" w:left="480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/>
          <w:color w:val="222222"/>
          <w:kern w:val="0"/>
          <w:szCs w:val="24"/>
        </w:rPr>
        <w:t>二、繼續工作一年以上三年未滿者，於二十日前預告之。</w:t>
      </w:r>
    </w:p>
    <w:p w:rsidR="0084575F" w:rsidRPr="00722E3F" w:rsidRDefault="00E600A4" w:rsidP="00722E3F">
      <w:pPr>
        <w:widowControl/>
        <w:shd w:val="clear" w:color="auto" w:fill="FFFFFF"/>
        <w:ind w:leftChars="200" w:left="480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/>
          <w:color w:val="222222"/>
          <w:kern w:val="0"/>
          <w:szCs w:val="24"/>
        </w:rPr>
        <w:t>三、繼續工作三年以上者，於三十日前預告之。</w:t>
      </w:r>
    </w:p>
    <w:p w:rsidR="0084575F" w:rsidRPr="00722E3F" w:rsidRDefault="0084575F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</w:p>
    <w:p w:rsidR="0084575F" w:rsidRPr="00722E3F" w:rsidRDefault="00E600A4" w:rsidP="00722E3F">
      <w:pPr>
        <w:pStyle w:val="a9"/>
        <w:widowControl/>
        <w:numPr>
          <w:ilvl w:val="0"/>
          <w:numId w:val="3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/>
          <w:color w:val="222222"/>
          <w:kern w:val="0"/>
          <w:szCs w:val="24"/>
          <w:shd w:val="clear" w:color="auto" w:fill="FFFFCC"/>
        </w:rPr>
        <w:t>資遣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費計算</w:t>
      </w:r>
    </w:p>
    <w:p w:rsidR="0084575F" w:rsidRPr="00722E3F" w:rsidRDefault="00E600A4" w:rsidP="00722E3F">
      <w:pPr>
        <w:widowControl/>
        <w:shd w:val="clear" w:color="auto" w:fill="FFFFFF"/>
        <w:ind w:leftChars="200" w:left="480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/>
          <w:color w:val="222222"/>
          <w:kern w:val="0"/>
          <w:szCs w:val="24"/>
        </w:rPr>
        <w:t>適用勞工退休金條例之工作年</w:t>
      </w:r>
      <w:r w:rsidRPr="00722E3F">
        <w:rPr>
          <w:rFonts w:ascii="標楷體" w:eastAsia="標楷體" w:hAnsi="標楷體" w:cs="Arial"/>
          <w:color w:val="222222"/>
          <w:kern w:val="0"/>
          <w:szCs w:val="24"/>
          <w:shd w:val="clear" w:color="auto" w:fill="FFFFCC"/>
        </w:rPr>
        <w:t>資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，每滿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1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年發給二分之一個月平均工</w:t>
      </w:r>
      <w:r w:rsidRPr="00722E3F">
        <w:rPr>
          <w:rFonts w:ascii="標楷體" w:eastAsia="標楷體" w:hAnsi="標楷體" w:cs="Arial"/>
          <w:color w:val="222222"/>
          <w:kern w:val="0"/>
          <w:szCs w:val="24"/>
          <w:shd w:val="clear" w:color="auto" w:fill="FFFFCC"/>
        </w:rPr>
        <w:t>資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，未滿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1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年者，以比例計給，最高以發給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6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個月平均工</w:t>
      </w:r>
      <w:r w:rsidRPr="00722E3F">
        <w:rPr>
          <w:rFonts w:ascii="標楷體" w:eastAsia="標楷體" w:hAnsi="標楷體" w:cs="Arial"/>
          <w:color w:val="222222"/>
          <w:kern w:val="0"/>
          <w:szCs w:val="24"/>
          <w:shd w:val="clear" w:color="auto" w:fill="FFFFCC"/>
        </w:rPr>
        <w:t>資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為限。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(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如，</w:t>
      </w:r>
      <w:r w:rsidRPr="00722E3F">
        <w:rPr>
          <w:rFonts w:ascii="標楷體" w:eastAsia="標楷體" w:hAnsi="標楷體" w:cs="Arial"/>
          <w:color w:val="222222"/>
          <w:kern w:val="0"/>
          <w:szCs w:val="24"/>
          <w:shd w:val="clear" w:color="auto" w:fill="FFFFCC"/>
        </w:rPr>
        <w:t>資遣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費基數為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1 37/48) </w:t>
      </w:r>
    </w:p>
    <w:p w:rsidR="0084575F" w:rsidRPr="00722E3F" w:rsidRDefault="00E600A4" w:rsidP="00722E3F">
      <w:pPr>
        <w:widowControl/>
        <w:shd w:val="clear" w:color="auto" w:fill="FFFFFF"/>
        <w:ind w:leftChars="200" w:left="480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/>
          <w:color w:val="222222"/>
          <w:kern w:val="0"/>
          <w:szCs w:val="24"/>
          <w:shd w:val="clear" w:color="auto" w:fill="FFFFCC"/>
        </w:rPr>
        <w:t>資遣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費基數計算方式要先換算成年</w:t>
      </w:r>
      <w:r w:rsidRPr="00722E3F">
        <w:rPr>
          <w:rFonts w:ascii="標楷體" w:eastAsia="標楷體" w:hAnsi="標楷體" w:cs="Arial"/>
          <w:color w:val="222222"/>
          <w:kern w:val="0"/>
          <w:szCs w:val="24"/>
          <w:shd w:val="clear" w:color="auto" w:fill="FFFFCC"/>
        </w:rPr>
        <w:t>資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天數再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*1/2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，例如勞工適用勞工退休金條例之工作年</w:t>
      </w:r>
      <w:r w:rsidRPr="00722E3F">
        <w:rPr>
          <w:rFonts w:ascii="標楷體" w:eastAsia="標楷體" w:hAnsi="標楷體" w:cs="Arial"/>
          <w:color w:val="222222"/>
          <w:kern w:val="0"/>
          <w:szCs w:val="24"/>
          <w:shd w:val="clear" w:color="auto" w:fill="FFFFCC"/>
        </w:rPr>
        <w:t>資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為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3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年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6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個月又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15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天，</w:t>
      </w:r>
    </w:p>
    <w:p w:rsidR="0084575F" w:rsidRPr="00722E3F" w:rsidRDefault="00E600A4" w:rsidP="00722E3F">
      <w:pPr>
        <w:widowControl/>
        <w:shd w:val="clear" w:color="auto" w:fill="FFFFFF"/>
        <w:ind w:leftChars="200" w:left="480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/>
          <w:color w:val="222222"/>
          <w:kern w:val="0"/>
          <w:szCs w:val="24"/>
        </w:rPr>
        <w:t>則年</w:t>
      </w:r>
      <w:r w:rsidRPr="00722E3F">
        <w:rPr>
          <w:rFonts w:ascii="標楷體" w:eastAsia="標楷體" w:hAnsi="標楷體" w:cs="Arial"/>
          <w:color w:val="222222"/>
          <w:kern w:val="0"/>
          <w:szCs w:val="24"/>
          <w:shd w:val="clear" w:color="auto" w:fill="FFFFCC"/>
        </w:rPr>
        <w:t>資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天數為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3+6/12+15/30/12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，</w:t>
      </w:r>
      <w:r w:rsidRPr="00722E3F">
        <w:rPr>
          <w:rFonts w:ascii="標楷體" w:eastAsia="標楷體" w:hAnsi="標楷體" w:cs="Arial"/>
          <w:color w:val="222222"/>
          <w:kern w:val="0"/>
          <w:szCs w:val="24"/>
          <w:shd w:val="clear" w:color="auto" w:fill="FFFFCC"/>
        </w:rPr>
        <w:t>資遣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費基數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=(3+6/12+15/30/12)*1/2</w:t>
      </w:r>
      <w:r w:rsidRPr="00722E3F">
        <w:rPr>
          <w:rFonts w:ascii="標楷體" w:eastAsia="標楷體" w:hAnsi="標楷體" w:cs="Arial"/>
          <w:color w:val="222222"/>
          <w:kern w:val="0"/>
          <w:szCs w:val="24"/>
        </w:rPr>
        <w:t>。</w:t>
      </w:r>
    </w:p>
    <w:p w:rsidR="0084575F" w:rsidRPr="00722E3F" w:rsidRDefault="0084575F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</w:p>
    <w:p w:rsidR="0084575F" w:rsidRPr="00722E3F" w:rsidRDefault="00E600A4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資遣費給與標準：</w:t>
      </w:r>
    </w:p>
    <w:p w:rsidR="0084575F" w:rsidRPr="00722E3F" w:rsidRDefault="00E600A4" w:rsidP="00722E3F">
      <w:pPr>
        <w:pStyle w:val="a9"/>
        <w:widowControl/>
        <w:numPr>
          <w:ilvl w:val="0"/>
          <w:numId w:val="5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勞動基準法第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17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條規定，每滿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1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年發給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1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個月平均工資資遣費；未滿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1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年者，以比例計給；未滿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1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個月以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1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個月計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(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如勞工適用勞動基準法退休金規定工作年資為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3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年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6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個月又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15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天，則資遣費基數為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3 7/12)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:rsidR="0084575F" w:rsidRPr="00722E3F" w:rsidRDefault="00E600A4" w:rsidP="00722E3F">
      <w:pPr>
        <w:pStyle w:val="a9"/>
        <w:widowControl/>
        <w:numPr>
          <w:ilvl w:val="0"/>
          <w:numId w:val="5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適用勞工退休金條例之工作年資，每滿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1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年發給二分之一個月平均工資，未滿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1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年者，以比例計給，最高以發給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6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個月平均工資為限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(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如勞工適用勞工退休金條例之工作年資為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3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年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6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個月又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15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天，資遣費基數為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1 37/48)</w:t>
      </w:r>
    </w:p>
    <w:p w:rsidR="0084575F" w:rsidRPr="00722E3F" w:rsidRDefault="0084575F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</w:p>
    <w:p w:rsidR="0084575F" w:rsidRPr="00722E3F" w:rsidRDefault="00E600A4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需特別注意</w:t>
      </w:r>
      <w:r w:rsidR="00722E3F">
        <w:rPr>
          <w:rFonts w:ascii="標楷體" w:eastAsia="標楷體" w:hAnsi="標楷體" w:cs="Arial" w:hint="eastAsia"/>
          <w:color w:val="222222"/>
          <w:kern w:val="0"/>
          <w:szCs w:val="24"/>
        </w:rPr>
        <w:t>：</w:t>
      </w:r>
    </w:p>
    <w:p w:rsidR="0084575F" w:rsidRPr="00722E3F" w:rsidRDefault="00E600A4" w:rsidP="00722E3F">
      <w:pPr>
        <w:pStyle w:val="a9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資遣費計算需計算到離職日，例如今天預告員工離職，離職日為十天後，則資遣費應計算到十天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後。</w:t>
      </w:r>
    </w:p>
    <w:p w:rsidR="0084575F" w:rsidRPr="00722E3F" w:rsidRDefault="00E600A4" w:rsidP="00722E3F">
      <w:pPr>
        <w:pStyle w:val="a9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若公司有聘僱外勞，則資遣通報時除了資遣通報名冊尚須提供徵詢工作意願調查表。</w:t>
      </w:r>
    </w:p>
    <w:p w:rsidR="0084575F" w:rsidRPr="00722E3F" w:rsidRDefault="00E600A4" w:rsidP="00722E3F">
      <w:pPr>
        <w:pStyle w:val="a9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試用期是否需要支付資遣費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?</w:t>
      </w:r>
    </w:p>
    <w:p w:rsidR="00722E3F" w:rsidRPr="00722E3F" w:rsidRDefault="00E600A4" w:rsidP="003F06CD">
      <w:pPr>
        <w:widowControl/>
        <w:shd w:val="clear" w:color="auto" w:fill="FFFFFF"/>
        <w:ind w:leftChars="200" w:left="480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行政機關要求要給付，司法機關大多是視合約內容進行判定。</w:t>
      </w:r>
      <w:bookmarkStart w:id="0" w:name="_GoBack"/>
      <w:bookmarkEnd w:id="0"/>
    </w:p>
    <w:p w:rsidR="0084575F" w:rsidRPr="00722E3F" w:rsidRDefault="00E600A4" w:rsidP="00722E3F">
      <w:pPr>
        <w:pStyle w:val="a9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lastRenderedPageBreak/>
        <w:t>建議</w:t>
      </w:r>
      <w:r w:rsidR="00722E3F">
        <w:rPr>
          <w:rFonts w:ascii="標楷體" w:eastAsia="標楷體" w:hAnsi="標楷體" w:cs="Arial" w:hint="eastAsia"/>
          <w:color w:val="222222"/>
          <w:kern w:val="0"/>
          <w:szCs w:val="24"/>
        </w:rPr>
        <w:t>：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試用期的薪資打折扣（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95%)</w:t>
      </w:r>
      <w:r w:rsidR="00B213EF">
        <w:rPr>
          <w:rFonts w:ascii="標楷體" w:eastAsia="標楷體" w:hAnsi="標楷體" w:cs="Arial" w:hint="eastAsia"/>
          <w:color w:val="222222"/>
          <w:kern w:val="0"/>
          <w:szCs w:val="24"/>
        </w:rPr>
        <w:t>，不得低於基本工資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:rsidR="0084575F" w:rsidRPr="00722E3F" w:rsidRDefault="00E600A4" w:rsidP="00722E3F">
      <w:pPr>
        <w:widowControl/>
        <w:shd w:val="clear" w:color="auto" w:fill="FFFFFF"/>
        <w:ind w:leftChars="200" w:left="480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5%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作為</w:t>
      </w:r>
      <w:r w:rsidR="003B70D5"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：</w:t>
      </w:r>
    </w:p>
    <w:p w:rsidR="003B70D5" w:rsidRPr="00722E3F" w:rsidRDefault="00E600A4" w:rsidP="00722E3F">
      <w:pPr>
        <w:pStyle w:val="a9"/>
        <w:widowControl/>
        <w:numPr>
          <w:ilvl w:val="0"/>
          <w:numId w:val="2"/>
        </w:numPr>
        <w:shd w:val="clear" w:color="auto" w:fill="FFFFFF"/>
        <w:ind w:left="840"/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通過試用期考核</w:t>
      </w:r>
      <w:r w:rsidR="003B70D5"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：“試用期滿獎金</w:t>
      </w:r>
      <w:r w:rsidR="003B70D5" w:rsidRPr="00722E3F">
        <w:rPr>
          <w:rFonts w:ascii="標楷體" w:eastAsia="標楷體" w:hAnsi="標楷體" w:cs="Arial"/>
          <w:color w:val="222222"/>
          <w:kern w:val="0"/>
          <w:szCs w:val="24"/>
        </w:rPr>
        <w:t>”</w:t>
      </w:r>
      <w:r w:rsidR="003B70D5"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給付。</w:t>
      </w:r>
    </w:p>
    <w:p w:rsidR="0084575F" w:rsidRPr="00722E3F" w:rsidRDefault="00E600A4" w:rsidP="00722E3F">
      <w:pPr>
        <w:pStyle w:val="a9"/>
        <w:widowControl/>
        <w:numPr>
          <w:ilvl w:val="0"/>
          <w:numId w:val="2"/>
        </w:numPr>
        <w:shd w:val="clear" w:color="auto" w:fill="FFFFFF"/>
        <w:ind w:left="840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沒通過試用期</w:t>
      </w:r>
      <w:r w:rsidR="003B70D5"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：「資遣費及預告工資」給付。</w:t>
      </w:r>
    </w:p>
    <w:p w:rsidR="0084575F" w:rsidRPr="00722E3F" w:rsidRDefault="00E600A4" w:rsidP="00722E3F">
      <w:pPr>
        <w:pStyle w:val="a9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若不符合勞基法第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11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條的資遣事由時，可跟員工協議用「合意終止勞動契約」的方式，也就是一方邀約，一方同意。亦可以資遣費方式計算，給付「離職金」。</w:t>
      </w:r>
    </w:p>
    <w:p w:rsidR="0084575F" w:rsidRPr="00722E3F" w:rsidRDefault="0084575F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</w:p>
    <w:p w:rsidR="0084575F" w:rsidRPr="00722E3F" w:rsidRDefault="00E600A4">
      <w:pPr>
        <w:widowControl/>
        <w:shd w:val="clear" w:color="auto" w:fill="FFFFFF"/>
        <w:jc w:val="right"/>
        <w:rPr>
          <w:rFonts w:ascii="標楷體" w:eastAsia="標楷體" w:hAnsi="標楷體" w:cs="Arial"/>
          <w:color w:val="222222"/>
          <w:kern w:val="0"/>
          <w:szCs w:val="24"/>
        </w:rPr>
      </w:pP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1</w:t>
      </w:r>
      <w:r w:rsidRPr="00722E3F">
        <w:rPr>
          <w:rFonts w:ascii="標楷體" w:eastAsia="標楷體" w:hAnsi="標楷體" w:cs="Arial" w:hint="eastAsia"/>
          <w:color w:val="222222"/>
          <w:kern w:val="0"/>
          <w:szCs w:val="24"/>
        </w:rPr>
        <w:t>061221</w:t>
      </w:r>
    </w:p>
    <w:sectPr w:rsidR="0084575F" w:rsidRPr="00722E3F" w:rsidSect="00722E3F">
      <w:footerReference w:type="default" r:id="rId9"/>
      <w:pgSz w:w="11906" w:h="16838"/>
      <w:pgMar w:top="127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A4" w:rsidRDefault="00E600A4">
      <w:r>
        <w:separator/>
      </w:r>
    </w:p>
  </w:endnote>
  <w:endnote w:type="continuationSeparator" w:id="0">
    <w:p w:rsidR="00E600A4" w:rsidRDefault="00E6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4649"/>
    </w:sdtPr>
    <w:sdtEndPr/>
    <w:sdtContent>
      <w:p w:rsidR="0084575F" w:rsidRDefault="00E600A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600A4">
          <w:rPr>
            <w:noProof/>
            <w:lang w:val="zh-TW"/>
          </w:rPr>
          <w:t>1</w:t>
        </w:r>
        <w:r>
          <w:rPr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A4" w:rsidRDefault="00E600A4">
      <w:r>
        <w:separator/>
      </w:r>
    </w:p>
  </w:footnote>
  <w:footnote w:type="continuationSeparator" w:id="0">
    <w:p w:rsidR="00E600A4" w:rsidRDefault="00E60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4D69"/>
    <w:multiLevelType w:val="hybridMultilevel"/>
    <w:tmpl w:val="D7043E30"/>
    <w:lvl w:ilvl="0" w:tplc="6AEEC7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D53F9"/>
    <w:multiLevelType w:val="hybridMultilevel"/>
    <w:tmpl w:val="79C880F2"/>
    <w:lvl w:ilvl="0" w:tplc="6AEEC79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A4069D"/>
    <w:multiLevelType w:val="hybridMultilevel"/>
    <w:tmpl w:val="4B08F6FE"/>
    <w:lvl w:ilvl="0" w:tplc="5C687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9414BC"/>
    <w:multiLevelType w:val="hybridMultilevel"/>
    <w:tmpl w:val="C8807B6A"/>
    <w:lvl w:ilvl="0" w:tplc="8E4C9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D167BA"/>
    <w:multiLevelType w:val="hybridMultilevel"/>
    <w:tmpl w:val="4A9A75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562C30"/>
    <w:multiLevelType w:val="hybridMultilevel"/>
    <w:tmpl w:val="D786D7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39BA53"/>
    <w:multiLevelType w:val="singleLevel"/>
    <w:tmpl w:val="5A39BA53"/>
    <w:lvl w:ilvl="0">
      <w:start w:val="4"/>
      <w:numFmt w:val="decimal"/>
      <w:suff w:val="nothing"/>
      <w:lvlText w:val="%1."/>
      <w:lvlJc w:val="left"/>
    </w:lvl>
  </w:abstractNum>
  <w:abstractNum w:abstractNumId="7">
    <w:nsid w:val="6D564A33"/>
    <w:multiLevelType w:val="hybridMultilevel"/>
    <w:tmpl w:val="235E2248"/>
    <w:lvl w:ilvl="0" w:tplc="6AEEC79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F41"/>
    <w:rsid w:val="00063F71"/>
    <w:rsid w:val="000F4177"/>
    <w:rsid w:val="00136ACE"/>
    <w:rsid w:val="00256ADF"/>
    <w:rsid w:val="002F6EFE"/>
    <w:rsid w:val="00326FF3"/>
    <w:rsid w:val="00385A1E"/>
    <w:rsid w:val="003B70D5"/>
    <w:rsid w:val="003F06CD"/>
    <w:rsid w:val="00592676"/>
    <w:rsid w:val="00722E3F"/>
    <w:rsid w:val="007874CB"/>
    <w:rsid w:val="007F4E7E"/>
    <w:rsid w:val="00823287"/>
    <w:rsid w:val="0084575F"/>
    <w:rsid w:val="009529F4"/>
    <w:rsid w:val="009A715A"/>
    <w:rsid w:val="00B213EF"/>
    <w:rsid w:val="00B70F22"/>
    <w:rsid w:val="00B81AC1"/>
    <w:rsid w:val="00BA7F67"/>
    <w:rsid w:val="00D948FB"/>
    <w:rsid w:val="00E028C0"/>
    <w:rsid w:val="00E600A4"/>
    <w:rsid w:val="00EA3F41"/>
    <w:rsid w:val="17150CDD"/>
    <w:rsid w:val="3038199B"/>
    <w:rsid w:val="3824371A"/>
    <w:rsid w:val="5C312E35"/>
    <w:rsid w:val="6C2274DE"/>
    <w:rsid w:val="7662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7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70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3B70D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策繪</cp:lastModifiedBy>
  <cp:revision>12</cp:revision>
  <cp:lastPrinted>2016-02-18T03:58:00Z</cp:lastPrinted>
  <dcterms:created xsi:type="dcterms:W3CDTF">2016-02-18T03:54:00Z</dcterms:created>
  <dcterms:modified xsi:type="dcterms:W3CDTF">2017-12-21T10:02:00Z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1028-10.8.0.6225</vt:lpwstr>
  </property>
</Properties>
</file>